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bin" ContentType="application/vnd.openxmlformats-officedocument.oleObject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Theme="minorEastAsia"/>
          <w:b/>
          <w:sz w:val="32"/>
          <w:lang w:eastAsia="zh-CN"/>
        </w:rPr>
      </w:pPr>
      <w:bookmarkStart w:id="0" w:name="_GoBack"/>
      <w:bookmarkEnd w:id="0"/>
      <w:r>
        <w:rPr>
          <w:b/>
          <w:sz w:val="32"/>
        </w:rPr>
        <w:t>Catalytic Asymmetric Carbene Insertion into N−H Bonds</w:t>
      </w:r>
    </w:p>
    <w:p>
      <w:pPr>
        <w:adjustRightInd w:val="0"/>
        <w:snapToGrid w:val="0"/>
        <w:jc w:val="center"/>
        <w:rPr>
          <w:sz w:val="24"/>
          <w:szCs w:val="24"/>
        </w:rPr>
      </w:pPr>
      <w:r>
        <w:rPr>
          <w:rFonts w:eastAsia="宋体"/>
          <w:sz w:val="24"/>
          <w:szCs w:val="24"/>
          <w:lang w:eastAsia="zh-CN"/>
        </w:rPr>
        <w:t>Qi-Lin Zhou</w:t>
      </w:r>
    </w:p>
    <w:p>
      <w:pPr>
        <w:adjustRightInd w:val="0"/>
        <w:snapToGrid w:val="0"/>
        <w:jc w:val="center"/>
        <w:rPr>
          <w:rFonts w:eastAsia="宋体"/>
          <w:i/>
          <w:kern w:val="0"/>
          <w:sz w:val="24"/>
          <w:szCs w:val="24"/>
          <w:lang w:eastAsia="zh-CN"/>
        </w:rPr>
      </w:pPr>
      <w:r>
        <w:rPr>
          <w:rFonts w:hint="eastAsia" w:eastAsia="宋体"/>
          <w:i/>
          <w:kern w:val="0"/>
          <w:sz w:val="24"/>
          <w:szCs w:val="24"/>
          <w:lang w:eastAsia="zh-CN"/>
        </w:rPr>
        <w:t>State Key Laboratory of Elemento-Organic Chemistry, Nankai University, Tianjin 300071, China</w:t>
      </w:r>
      <w:r>
        <w:rPr>
          <w:rFonts w:hint="eastAsia"/>
          <w:i/>
          <w:kern w:val="0"/>
          <w:sz w:val="24"/>
          <w:szCs w:val="24"/>
        </w:rPr>
        <w:t xml:space="preserve"> </w:t>
      </w:r>
    </w:p>
    <w:p>
      <w:pPr>
        <w:adjustRightInd w:val="0"/>
        <w:snapToGrid w:val="0"/>
        <w:jc w:val="center"/>
        <w:rPr>
          <w:rFonts w:eastAsia="宋体"/>
          <w:i/>
          <w:kern w:val="0"/>
          <w:sz w:val="24"/>
          <w:szCs w:val="24"/>
          <w:lang w:eastAsia="zh-CN"/>
        </w:rPr>
      </w:pPr>
      <w:r>
        <w:rPr>
          <w:i/>
          <w:kern w:val="0"/>
          <w:sz w:val="24"/>
          <w:szCs w:val="24"/>
        </w:rPr>
        <w:t>E-mail:</w:t>
      </w:r>
      <w:r>
        <w:rPr>
          <w:rFonts w:eastAsia="宋体"/>
          <w:i/>
          <w:kern w:val="0"/>
          <w:sz w:val="24"/>
          <w:szCs w:val="24"/>
          <w:lang w:eastAsia="zh-CN"/>
        </w:rPr>
        <w:t>qlzhou</w:t>
      </w:r>
      <w:r>
        <w:rPr>
          <w:rFonts w:hint="eastAsia" w:eastAsia="宋体"/>
          <w:i/>
          <w:kern w:val="0"/>
          <w:sz w:val="24"/>
          <w:szCs w:val="24"/>
          <w:lang w:eastAsia="zh-CN"/>
        </w:rPr>
        <w:t>@nankai.edu.cn</w:t>
      </w:r>
    </w:p>
    <w:p>
      <w:pPr>
        <w:adjustRightInd w:val="0"/>
        <w:snapToGrid w:val="0"/>
        <w:rPr>
          <w:rFonts w:eastAsia="宋体"/>
          <w:lang w:eastAsia="zh-CN"/>
        </w:rPr>
      </w:pPr>
    </w:p>
    <w:p>
      <w:pPr>
        <w:ind w:firstLine="480" w:firstLineChars="200"/>
        <w:rPr>
          <w:sz w:val="24"/>
          <w:szCs w:val="22"/>
          <w:lang w:eastAsia="zh-CN"/>
        </w:rPr>
      </w:pPr>
      <w:r>
        <w:rPr>
          <w:sz w:val="24"/>
          <w:szCs w:val="22"/>
          <w:lang w:eastAsia="zh-CN"/>
        </w:rPr>
        <w:t>Chiral amines widely exist in natural products, pharmaceuticals, and agrochemicals. The development of the method for enantioselective C−N bond formation is a long-standing interest in synthetic chemistry. Transition-metal-catalyzed carbene insertion into N−H bonds of amines is a straightforward method for the construction of C−N bonds, which has the advantages of mild reaction conditions, good tolerance of functional groups, and easy availability of reactants. However, it is a challenge to control the enantioselectivity of the catalytic carbene insertion into N−H bonds of amines. In this presentation, we will discuss the catalysts developed in our laboratory, which show high enantioselectivities for carbene insertions into N−H bonds of amides, aromatic and aliphatic amines, and ammonia.</w:t>
      </w:r>
    </w:p>
    <w:p>
      <w:pPr>
        <w:rPr>
          <w:rFonts w:eastAsiaTheme="minorEastAsia"/>
          <w:sz w:val="24"/>
          <w:szCs w:val="22"/>
          <w:lang w:eastAsia="zh-CN"/>
        </w:rPr>
      </w:pPr>
    </w:p>
    <w:p>
      <w:pPr>
        <w:rPr>
          <w:sz w:val="22"/>
          <w:szCs w:val="22"/>
        </w:rPr>
      </w:pPr>
    </w:p>
    <w:p>
      <w:pPr>
        <w:autoSpaceDE w:val="0"/>
        <w:autoSpaceDN w:val="0"/>
        <w:adjustRightInd w:val="0"/>
        <w:snapToGrid w:val="0"/>
        <w:ind w:firstLine="210" w:firstLineChars="100"/>
        <w:jc w:val="center"/>
      </w:pPr>
      <w:r>
        <w:object>
          <v:shape id="_x0000_i1025" o:spt="75" type="#_x0000_t75" style="height:85.15pt;width:311pt;" o:ole="t" filled="f" o:preferrelative="t" stroked="f" coordsize="21600,21600">
            <v:path/>
            <v:fill on="f" focussize="0,0"/>
            <v:stroke on="f" joinstyle="miter"/>
            <v:imagedata r:id="rId7" o:title=""/>
            <o:lock v:ext="edit" aspectratio="t"/>
            <w10:wrap type="none"/>
            <w10:anchorlock/>
          </v:shape>
          <o:OLEObject Type="Embed" ProgID="ChemDraw.Document.6.0" ShapeID="_x0000_i1025" DrawAspect="Content" ObjectID="_1468075725" r:id="rId6">
            <o:LockedField>false</o:LockedField>
          </o:OLEObject>
        </w:object>
      </w:r>
    </w:p>
    <w:p>
      <w:pPr>
        <w:autoSpaceDE w:val="0"/>
        <w:autoSpaceDN w:val="0"/>
        <w:adjustRightInd w:val="0"/>
        <w:snapToGrid w:val="0"/>
        <w:ind w:firstLine="210" w:firstLineChars="100"/>
        <w:jc w:val="center"/>
      </w:pPr>
    </w:p>
    <w:p>
      <w:pPr>
        <w:autoSpaceDE w:val="0"/>
        <w:autoSpaceDN w:val="0"/>
        <w:adjustRightInd w:val="0"/>
        <w:snapToGrid w:val="0"/>
        <w:ind w:firstLine="221" w:firstLineChars="100"/>
        <w:jc w:val="center"/>
        <w:rPr>
          <w:rFonts w:eastAsia="宋体"/>
          <w:kern w:val="0"/>
          <w:sz w:val="28"/>
          <w:lang w:eastAsia="zh-CN"/>
        </w:rPr>
      </w:pPr>
      <w:r>
        <w:rPr>
          <w:rFonts w:hint="eastAsia" w:eastAsia="宋体"/>
          <w:b/>
          <w:sz w:val="22"/>
          <w:lang w:eastAsia="zh-CN"/>
        </w:rPr>
        <w:t>Scheme 1</w:t>
      </w:r>
      <w:r>
        <w:rPr>
          <w:rFonts w:hint="eastAsia" w:eastAsia="宋体"/>
          <w:sz w:val="22"/>
          <w:lang w:eastAsia="zh-CN"/>
        </w:rPr>
        <w:t xml:space="preserve">. </w:t>
      </w:r>
      <w:r>
        <w:rPr>
          <w:rFonts w:eastAsia="宋体"/>
          <w:sz w:val="22"/>
          <w:lang w:eastAsia="zh-CN"/>
        </w:rPr>
        <w:t>Asymmetric catalytic carbene insertion into N−H bonds</w:t>
      </w:r>
    </w:p>
    <w:p>
      <w:pPr>
        <w:autoSpaceDE w:val="0"/>
        <w:autoSpaceDN w:val="0"/>
        <w:adjustRightInd w:val="0"/>
        <w:jc w:val="center"/>
        <w:rPr>
          <w:rFonts w:eastAsia="宋体"/>
          <w:b/>
          <w:szCs w:val="22"/>
          <w:lang w:eastAsia="zh-CN"/>
        </w:rPr>
      </w:pPr>
    </w:p>
    <w:p>
      <w:pPr>
        <w:autoSpaceDE w:val="0"/>
        <w:autoSpaceDN w:val="0"/>
        <w:adjustRightInd w:val="0"/>
        <w:jc w:val="center"/>
        <w:rPr>
          <w:rFonts w:eastAsia="宋体"/>
          <w:b/>
          <w:szCs w:val="22"/>
          <w:lang w:eastAsia="zh-CN"/>
        </w:rPr>
      </w:pPr>
    </w:p>
    <w:p>
      <w:pPr>
        <w:autoSpaceDE w:val="0"/>
        <w:autoSpaceDN w:val="0"/>
        <w:adjustRightInd w:val="0"/>
        <w:jc w:val="center"/>
        <w:rPr>
          <w:rFonts w:eastAsia="宋体"/>
          <w:b/>
          <w:szCs w:val="22"/>
          <w:lang w:eastAsia="zh-CN"/>
        </w:rPr>
      </w:pPr>
    </w:p>
    <w:p>
      <w:pPr>
        <w:rPr>
          <w:rFonts w:eastAsia="宋体"/>
          <w:b/>
          <w:sz w:val="22"/>
          <w:szCs w:val="22"/>
          <w:lang w:val="de-DE" w:eastAsia="ko-KR"/>
        </w:rPr>
      </w:pPr>
      <w:r>
        <w:rPr>
          <w:rFonts w:hint="eastAsia" w:eastAsia="宋体"/>
          <w:b/>
          <w:sz w:val="22"/>
          <w:szCs w:val="22"/>
          <w:lang w:val="de-DE" w:eastAsia="ko-KR"/>
        </w:rPr>
        <w:t>References</w:t>
      </w:r>
    </w:p>
    <w:p>
      <w:pPr>
        <w:numPr>
          <w:ilvl w:val="0"/>
          <w:numId w:val="1"/>
        </w:numPr>
        <w:autoSpaceDE w:val="0"/>
        <w:autoSpaceDN w:val="0"/>
        <w:adjustRightInd w:val="0"/>
        <w:snapToGrid w:val="0"/>
        <w:ind w:left="357" w:hanging="357"/>
        <w:rPr>
          <w:rFonts w:eastAsia="宋体"/>
          <w:sz w:val="22"/>
          <w:szCs w:val="24"/>
          <w:lang w:eastAsia="ko-KR"/>
        </w:rPr>
      </w:pPr>
      <w:r>
        <w:rPr>
          <w:rFonts w:eastAsia="楷体_GB2312"/>
          <w:bCs/>
          <w:sz w:val="22"/>
          <w:szCs w:val="24"/>
          <w:lang w:eastAsia="zh-CN"/>
        </w:rPr>
        <w:t xml:space="preserve">Liu, B.; Zhu, S.-F.; Zhang, W.; Chen, C.; Zhou, Q.-L. Highly enantioselective insertion of carbenoids into N−H bonds catalyzed by copper complexes of chiral spiro bisoxazolines, </w:t>
      </w:r>
      <w:r>
        <w:rPr>
          <w:rFonts w:eastAsia="楷体_GB2312"/>
          <w:bCs/>
          <w:i/>
          <w:sz w:val="22"/>
          <w:szCs w:val="24"/>
          <w:lang w:eastAsia="zh-CN"/>
        </w:rPr>
        <w:t>J. Am. Chem. Soc.</w:t>
      </w:r>
      <w:r>
        <w:rPr>
          <w:rFonts w:eastAsia="楷体_GB2312"/>
          <w:bCs/>
          <w:sz w:val="22"/>
          <w:szCs w:val="24"/>
          <w:lang w:eastAsia="zh-CN"/>
        </w:rPr>
        <w:t xml:space="preserve"> </w:t>
      </w:r>
      <w:r>
        <w:rPr>
          <w:rFonts w:eastAsia="楷体_GB2312"/>
          <w:b/>
          <w:bCs/>
          <w:sz w:val="22"/>
          <w:szCs w:val="24"/>
          <w:lang w:eastAsia="zh-CN"/>
        </w:rPr>
        <w:t>2007</w:t>
      </w:r>
      <w:r>
        <w:rPr>
          <w:rFonts w:eastAsia="楷体_GB2312"/>
          <w:bCs/>
          <w:sz w:val="22"/>
          <w:szCs w:val="24"/>
          <w:lang w:eastAsia="zh-CN"/>
        </w:rPr>
        <w:t xml:space="preserve">, </w:t>
      </w:r>
      <w:r>
        <w:rPr>
          <w:rFonts w:eastAsia="楷体_GB2312"/>
          <w:bCs/>
          <w:i/>
          <w:sz w:val="22"/>
          <w:szCs w:val="24"/>
          <w:lang w:eastAsia="zh-CN"/>
        </w:rPr>
        <w:t>129</w:t>
      </w:r>
      <w:r>
        <w:rPr>
          <w:rFonts w:eastAsia="楷体_GB2312"/>
          <w:bCs/>
          <w:sz w:val="22"/>
          <w:szCs w:val="24"/>
          <w:lang w:eastAsia="zh-CN"/>
        </w:rPr>
        <w:t>, 5834-5835</w:t>
      </w:r>
      <w:r>
        <w:rPr>
          <w:rFonts w:eastAsia="宋体"/>
          <w:kern w:val="0"/>
          <w:sz w:val="22"/>
          <w:szCs w:val="24"/>
          <w:lang w:eastAsia="ko-KR"/>
        </w:rPr>
        <w:t>.</w:t>
      </w:r>
    </w:p>
    <w:p>
      <w:pPr>
        <w:numPr>
          <w:ilvl w:val="0"/>
          <w:numId w:val="1"/>
        </w:numPr>
        <w:autoSpaceDE w:val="0"/>
        <w:autoSpaceDN w:val="0"/>
        <w:adjustRightInd w:val="0"/>
        <w:snapToGrid w:val="0"/>
        <w:ind w:left="357" w:hanging="357"/>
        <w:rPr>
          <w:rFonts w:eastAsia="宋体"/>
          <w:sz w:val="22"/>
          <w:szCs w:val="24"/>
          <w:lang w:eastAsia="ko-KR"/>
        </w:rPr>
      </w:pPr>
      <w:r>
        <w:rPr>
          <w:rFonts w:eastAsia="楷体_GB2312"/>
          <w:bCs/>
          <w:sz w:val="22"/>
          <w:szCs w:val="24"/>
          <w:lang w:eastAsia="zh-CN"/>
        </w:rPr>
        <w:t xml:space="preserve">Xu, B.; Zhu, S.-F.; Zuo, X.-D.; Zhang, Z.-C.; Zhou, Q.-L. Enantioselective N−H insertion reaction of α-aryl-α-diazoketones: An efficient route to chiral α-aminoketones, </w:t>
      </w:r>
      <w:r>
        <w:rPr>
          <w:rFonts w:eastAsia="楷体_GB2312"/>
          <w:bCs/>
          <w:i/>
          <w:sz w:val="22"/>
          <w:szCs w:val="24"/>
          <w:lang w:eastAsia="zh-CN"/>
        </w:rPr>
        <w:t>Angew. Chem. Int. Ed.</w:t>
      </w:r>
      <w:r>
        <w:rPr>
          <w:rFonts w:eastAsia="楷体_GB2312"/>
          <w:bCs/>
          <w:sz w:val="22"/>
          <w:szCs w:val="24"/>
          <w:lang w:eastAsia="zh-CN"/>
        </w:rPr>
        <w:t xml:space="preserve"> </w:t>
      </w:r>
      <w:r>
        <w:rPr>
          <w:rFonts w:eastAsia="楷体_GB2312"/>
          <w:b/>
          <w:bCs/>
          <w:sz w:val="22"/>
          <w:szCs w:val="24"/>
          <w:lang w:eastAsia="zh-CN"/>
        </w:rPr>
        <w:t>2014</w:t>
      </w:r>
      <w:r>
        <w:rPr>
          <w:rFonts w:eastAsia="楷体_GB2312"/>
          <w:bCs/>
          <w:sz w:val="22"/>
          <w:szCs w:val="24"/>
          <w:lang w:eastAsia="zh-CN"/>
        </w:rPr>
        <w:t xml:space="preserve">, </w:t>
      </w:r>
      <w:r>
        <w:rPr>
          <w:rFonts w:eastAsia="楷体_GB2312"/>
          <w:bCs/>
          <w:i/>
          <w:sz w:val="22"/>
          <w:szCs w:val="24"/>
          <w:lang w:eastAsia="zh-CN"/>
        </w:rPr>
        <w:t>53</w:t>
      </w:r>
      <w:r>
        <w:rPr>
          <w:rFonts w:eastAsia="楷体_GB2312"/>
          <w:bCs/>
          <w:sz w:val="22"/>
          <w:szCs w:val="24"/>
          <w:lang w:eastAsia="zh-CN"/>
        </w:rPr>
        <w:t>, 3913-3916.</w:t>
      </w:r>
      <w:r>
        <w:rPr>
          <w:rFonts w:hint="eastAsia" w:eastAsia="宋体"/>
          <w:sz w:val="22"/>
          <w:szCs w:val="24"/>
          <w:lang w:eastAsia="zh-CN"/>
        </w:rPr>
        <w:t xml:space="preserve"> </w:t>
      </w:r>
    </w:p>
    <w:p>
      <w:pPr>
        <w:numPr>
          <w:ilvl w:val="0"/>
          <w:numId w:val="1"/>
        </w:numPr>
        <w:autoSpaceDE w:val="0"/>
        <w:autoSpaceDN w:val="0"/>
        <w:adjustRightInd w:val="0"/>
        <w:snapToGrid w:val="0"/>
        <w:ind w:left="357" w:hanging="357"/>
        <w:rPr>
          <w:rFonts w:eastAsia="宋体"/>
          <w:sz w:val="22"/>
          <w:szCs w:val="24"/>
          <w:lang w:eastAsia="ko-KR"/>
        </w:rPr>
      </w:pPr>
      <w:r>
        <w:rPr>
          <w:rFonts w:eastAsia="楷体_GB2312"/>
          <w:bCs/>
          <w:sz w:val="22"/>
          <w:szCs w:val="24"/>
          <w:lang w:eastAsia="zh-CN"/>
        </w:rPr>
        <w:t xml:space="preserve">Li, M.-L.; Yu, J.-H.; Li, Y.-H.; Zhu, S.-F.; Zhou, Q.-L. Highly enantioselective carbene insertion into N−H bonds of aliphatic amines, </w:t>
      </w:r>
      <w:r>
        <w:rPr>
          <w:rFonts w:eastAsia="楷体_GB2312"/>
          <w:bCs/>
          <w:i/>
          <w:sz w:val="22"/>
          <w:szCs w:val="24"/>
          <w:lang w:eastAsia="zh-CN"/>
        </w:rPr>
        <w:t>Science</w:t>
      </w:r>
      <w:r>
        <w:rPr>
          <w:rFonts w:eastAsia="楷体_GB2312"/>
          <w:bCs/>
          <w:sz w:val="22"/>
          <w:szCs w:val="24"/>
          <w:lang w:eastAsia="zh-CN"/>
        </w:rPr>
        <w:t xml:space="preserve"> </w:t>
      </w:r>
      <w:r>
        <w:rPr>
          <w:rFonts w:eastAsia="楷体_GB2312"/>
          <w:b/>
          <w:bCs/>
          <w:sz w:val="22"/>
          <w:szCs w:val="24"/>
          <w:lang w:eastAsia="zh-CN"/>
        </w:rPr>
        <w:t>2019</w:t>
      </w:r>
      <w:r>
        <w:rPr>
          <w:rFonts w:eastAsia="楷体_GB2312"/>
          <w:bCs/>
          <w:sz w:val="22"/>
          <w:szCs w:val="24"/>
          <w:lang w:eastAsia="zh-CN"/>
        </w:rPr>
        <w:t xml:space="preserve">, </w:t>
      </w:r>
      <w:r>
        <w:rPr>
          <w:rFonts w:eastAsia="楷体_GB2312"/>
          <w:bCs/>
          <w:i/>
          <w:sz w:val="22"/>
          <w:szCs w:val="24"/>
          <w:lang w:eastAsia="zh-CN"/>
        </w:rPr>
        <w:t>366</w:t>
      </w:r>
      <w:r>
        <w:rPr>
          <w:rFonts w:eastAsia="楷体_GB2312"/>
          <w:bCs/>
          <w:sz w:val="22"/>
          <w:szCs w:val="24"/>
          <w:lang w:eastAsia="zh-CN"/>
        </w:rPr>
        <w:t>, 990-994.</w:t>
      </w:r>
    </w:p>
    <w:p>
      <w:pPr>
        <w:numPr>
          <w:ilvl w:val="0"/>
          <w:numId w:val="1"/>
        </w:numPr>
        <w:autoSpaceDE w:val="0"/>
        <w:autoSpaceDN w:val="0"/>
        <w:adjustRightInd w:val="0"/>
        <w:snapToGrid w:val="0"/>
        <w:ind w:left="357" w:hanging="357"/>
        <w:rPr>
          <w:rFonts w:eastAsia="宋体"/>
          <w:sz w:val="22"/>
          <w:szCs w:val="24"/>
          <w:lang w:eastAsia="ko-KR"/>
        </w:rPr>
      </w:pPr>
      <w:r>
        <w:rPr>
          <w:rFonts w:eastAsia="楷体_GB2312"/>
          <w:bCs/>
          <w:sz w:val="22"/>
          <w:szCs w:val="24"/>
          <w:lang w:eastAsia="zh-CN"/>
        </w:rPr>
        <w:t xml:space="preserve">Li, M.-L.; Pan, J.-B.; Zhou, Q.-L. Enantioselective synthesis of amino acids from ammonia. </w:t>
      </w:r>
      <w:r>
        <w:rPr>
          <w:rFonts w:eastAsia="楷体_GB2312"/>
          <w:bCs/>
          <w:i/>
          <w:sz w:val="22"/>
          <w:szCs w:val="24"/>
          <w:lang w:eastAsia="zh-CN"/>
        </w:rPr>
        <w:t>Nat. Catal.</w:t>
      </w:r>
      <w:r>
        <w:rPr>
          <w:rFonts w:eastAsia="楷体_GB2312"/>
          <w:bCs/>
          <w:sz w:val="22"/>
          <w:szCs w:val="24"/>
          <w:lang w:eastAsia="zh-CN"/>
        </w:rPr>
        <w:t xml:space="preserve"> </w:t>
      </w:r>
      <w:r>
        <w:rPr>
          <w:rFonts w:eastAsia="楷体_GB2312"/>
          <w:b/>
          <w:bCs/>
          <w:sz w:val="22"/>
          <w:szCs w:val="24"/>
          <w:lang w:eastAsia="zh-CN"/>
        </w:rPr>
        <w:t>2022</w:t>
      </w:r>
      <w:r>
        <w:rPr>
          <w:rFonts w:eastAsia="楷体_GB2312"/>
          <w:bCs/>
          <w:sz w:val="22"/>
          <w:szCs w:val="24"/>
          <w:lang w:eastAsia="zh-CN"/>
        </w:rPr>
        <w:t xml:space="preserve">, </w:t>
      </w:r>
      <w:r>
        <w:rPr>
          <w:rFonts w:eastAsia="楷体_GB2312"/>
          <w:bCs/>
          <w:i/>
          <w:sz w:val="22"/>
          <w:szCs w:val="24"/>
          <w:lang w:eastAsia="zh-CN"/>
        </w:rPr>
        <w:t>5</w:t>
      </w:r>
      <w:r>
        <w:rPr>
          <w:rFonts w:eastAsia="楷体_GB2312"/>
          <w:bCs/>
          <w:sz w:val="22"/>
          <w:szCs w:val="24"/>
          <w:lang w:eastAsia="zh-CN"/>
        </w:rPr>
        <w:t>, 571-577.</w:t>
      </w:r>
    </w:p>
    <w:p>
      <w:pPr>
        <w:pStyle w:val="25"/>
        <w:spacing w:before="160" w:line="240" w:lineRule="auto"/>
        <w:jc w:val="center"/>
        <w:rPr>
          <w:rFonts w:ascii="Arial" w:hAnsi="Arial" w:cs="Arial"/>
          <w:sz w:val="24"/>
          <w:szCs w:val="18"/>
          <w:lang w:val="en-US"/>
        </w:rPr>
      </w:pPr>
    </w:p>
    <w:sectPr>
      <w:headerReference r:id="rId3" w:type="default"/>
      <w:footerReference r:id="rId4" w:type="default"/>
      <w:type w:val="continuous"/>
      <w:pgSz w:w="11906" w:h="16838"/>
      <w:pgMar w:top="1440" w:right="1361" w:bottom="1440" w:left="136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S Mincho">
    <w:panose1 w:val="02020609040205080304"/>
    <w:charset w:val="80"/>
    <w:family w:val="modern"/>
    <w:pitch w:val="default"/>
    <w:sig w:usb0="A00002BF" w:usb1="68C7FCFB" w:usb2="00000010" w:usb3="00000000" w:csb0="4002009F" w:csb1="DFD70000"/>
  </w:font>
  <w:font w:name="Malgun Gothic">
    <w:panose1 w:val="020B0503020000020004"/>
    <w:charset w:val="81"/>
    <w:family w:val="swiss"/>
    <w:pitch w:val="default"/>
    <w:sig w:usb0="9000002F" w:usb1="29D77CFB" w:usb2="00000012" w:usb3="00000000" w:csb0="0008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  <w:rPr>
        <w:rFonts w:eastAsiaTheme="minorEastAsia"/>
        <w:i/>
        <w:sz w:val="21"/>
        <w:lang w:eastAsia="zh-CN"/>
      </w:rPr>
    </w:pPr>
    <w:r>
      <w:rPr>
        <w:rFonts w:eastAsiaTheme="minorEastAsia"/>
        <w:i/>
        <w:sz w:val="21"/>
        <w:lang w:eastAsia="zh-CN"/>
      </w:rPr>
      <w:t>The 6th International Conference on Organometallics and Catalysis (OM&amp;CAT-6), 15–18 August 2024,</w:t>
    </w:r>
  </w:p>
  <w:p>
    <w:pPr>
      <w:pStyle w:val="5"/>
      <w:jc w:val="center"/>
      <w:rPr>
        <w:i/>
      </w:rPr>
    </w:pPr>
    <w:r>
      <w:rPr>
        <w:rFonts w:eastAsiaTheme="minorEastAsia"/>
        <w:i/>
        <w:sz w:val="21"/>
        <w:lang w:eastAsia="zh-CN"/>
      </w:rPr>
      <w:t>Nankai University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rPr>
        <w:rFonts w:eastAsiaTheme="minorEastAsia"/>
        <w:i/>
        <w:sz w:val="22"/>
        <w:szCs w:val="21"/>
        <w:lang w:eastAsia="zh-CN"/>
      </w:rPr>
    </w:pPr>
    <w:r>
      <w:rPr>
        <w:i/>
        <w:sz w:val="22"/>
        <w:szCs w:val="21"/>
        <w:lang w:eastAsia="zh-CN"/>
      </w:rPr>
      <w:t xml:space="preserve">The </w:t>
    </w:r>
    <w:r>
      <w:rPr>
        <w:rFonts w:eastAsiaTheme="minorEastAsia"/>
        <w:i/>
        <w:sz w:val="22"/>
        <w:szCs w:val="21"/>
        <w:lang w:eastAsia="zh-CN"/>
      </w:rPr>
      <w:t>6</w:t>
    </w:r>
    <w:r>
      <w:rPr>
        <w:rFonts w:eastAsiaTheme="minorEastAsia"/>
        <w:i/>
        <w:sz w:val="22"/>
        <w:szCs w:val="21"/>
        <w:vertAlign w:val="superscript"/>
        <w:lang w:eastAsia="zh-CN"/>
      </w:rPr>
      <w:t>th</w:t>
    </w:r>
    <w:r>
      <w:rPr>
        <w:rFonts w:eastAsiaTheme="minorEastAsia"/>
        <w:i/>
        <w:sz w:val="22"/>
        <w:szCs w:val="21"/>
        <w:lang w:eastAsia="zh-CN"/>
      </w:rPr>
      <w:t xml:space="preserve"> International Conference on Organometallics and Catalysis (O</w:t>
    </w:r>
    <w:r>
      <w:rPr>
        <w:rFonts w:hint="eastAsia" w:eastAsiaTheme="minorEastAsia"/>
        <w:i/>
        <w:sz w:val="22"/>
        <w:szCs w:val="21"/>
        <w:lang w:eastAsia="zh-CN"/>
      </w:rPr>
      <w:t>M&amp;CAT</w:t>
    </w:r>
    <w:r>
      <w:rPr>
        <w:rFonts w:eastAsiaTheme="minorEastAsia"/>
        <w:i/>
        <w:sz w:val="22"/>
        <w:szCs w:val="21"/>
        <w:lang w:eastAsia="zh-CN"/>
      </w:rPr>
      <w:t>-6), 15–18 August 2024,</w:t>
    </w:r>
  </w:p>
  <w:p>
    <w:pPr>
      <w:pStyle w:val="6"/>
      <w:rPr>
        <w:sz w:val="20"/>
      </w:rPr>
    </w:pPr>
    <w:r>
      <w:rPr>
        <w:rFonts w:hint="eastAsia" w:eastAsiaTheme="minorEastAsia"/>
        <w:i/>
        <w:sz w:val="22"/>
        <w:szCs w:val="21"/>
        <w:lang w:eastAsia="zh-CN"/>
      </w:rPr>
      <w:t>N</w:t>
    </w:r>
    <w:r>
      <w:rPr>
        <w:rFonts w:eastAsiaTheme="minorEastAsia"/>
        <w:i/>
        <w:sz w:val="22"/>
        <w:szCs w:val="21"/>
        <w:lang w:eastAsia="zh-CN"/>
      </w:rPr>
      <w:t>ankai University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A80BA4"/>
    <w:multiLevelType w:val="multilevel"/>
    <w:tmpl w:val="50A80BA4"/>
    <w:lvl w:ilvl="0" w:tentative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eastAsia="宋体" w:cs="Times New Roman"/>
        <w:sz w:val="24"/>
      </w:rPr>
    </w:lvl>
    <w:lvl w:ilvl="1" w:tentative="0">
      <w:start w:val="1"/>
      <w:numFmt w:val="aiueoFullWidth"/>
      <w:lvlText w:val="(%2)"/>
      <w:lvlJc w:val="left"/>
      <w:pPr>
        <w:ind w:left="960" w:hanging="480"/>
      </w:pPr>
    </w:lvl>
    <w:lvl w:ilvl="2" w:tentative="0">
      <w:start w:val="1"/>
      <w:numFmt w:val="decimalEnclosedCircle"/>
      <w:lvlText w:val="%3"/>
      <w:lvlJc w:val="left"/>
      <w:pPr>
        <w:ind w:left="1440" w:hanging="480"/>
      </w:pPr>
    </w:lvl>
    <w:lvl w:ilvl="3" w:tentative="0">
      <w:start w:val="1"/>
      <w:numFmt w:val="decimal"/>
      <w:lvlText w:val="%4."/>
      <w:lvlJc w:val="left"/>
      <w:pPr>
        <w:ind w:left="1920" w:hanging="480"/>
      </w:pPr>
    </w:lvl>
    <w:lvl w:ilvl="4" w:tentative="0">
      <w:start w:val="1"/>
      <w:numFmt w:val="aiueoFullWidth"/>
      <w:lvlText w:val="(%5)"/>
      <w:lvlJc w:val="left"/>
      <w:pPr>
        <w:ind w:left="2400" w:hanging="480"/>
      </w:pPr>
    </w:lvl>
    <w:lvl w:ilvl="5" w:tentative="0">
      <w:start w:val="1"/>
      <w:numFmt w:val="decimalEnclosedCircle"/>
      <w:lvlText w:val="%6"/>
      <w:lvlJc w:val="left"/>
      <w:pPr>
        <w:ind w:left="2880" w:hanging="480"/>
      </w:pPr>
    </w:lvl>
    <w:lvl w:ilvl="6" w:tentative="0">
      <w:start w:val="1"/>
      <w:numFmt w:val="decimal"/>
      <w:lvlText w:val="%7."/>
      <w:lvlJc w:val="left"/>
      <w:pPr>
        <w:ind w:left="3360" w:hanging="480"/>
      </w:pPr>
    </w:lvl>
    <w:lvl w:ilvl="7" w:tentative="0">
      <w:start w:val="1"/>
      <w:numFmt w:val="aiueoFullWidth"/>
      <w:lvlText w:val="(%8)"/>
      <w:lvlJc w:val="left"/>
      <w:pPr>
        <w:ind w:left="3840" w:hanging="480"/>
      </w:pPr>
    </w:lvl>
    <w:lvl w:ilvl="8" w:tentative="0">
      <w:start w:val="1"/>
      <w:numFmt w:val="decimalEnclosedCircle"/>
      <w:lvlText w:val="%9"/>
      <w:lvlJc w:val="lef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0173A"/>
    <w:rsid w:val="00031249"/>
    <w:rsid w:val="0006573D"/>
    <w:rsid w:val="0007629B"/>
    <w:rsid w:val="00092810"/>
    <w:rsid w:val="00092CE6"/>
    <w:rsid w:val="000A0037"/>
    <w:rsid w:val="000C50D6"/>
    <w:rsid w:val="000E5E28"/>
    <w:rsid w:val="000F1130"/>
    <w:rsid w:val="00114DCB"/>
    <w:rsid w:val="00117CC1"/>
    <w:rsid w:val="00162ED0"/>
    <w:rsid w:val="001B0454"/>
    <w:rsid w:val="001C1E92"/>
    <w:rsid w:val="001C39F4"/>
    <w:rsid w:val="001F421D"/>
    <w:rsid w:val="0020630F"/>
    <w:rsid w:val="00216E97"/>
    <w:rsid w:val="0022104D"/>
    <w:rsid w:val="002312EE"/>
    <w:rsid w:val="00240EA9"/>
    <w:rsid w:val="00242A55"/>
    <w:rsid w:val="00274374"/>
    <w:rsid w:val="002B41E1"/>
    <w:rsid w:val="002C3A58"/>
    <w:rsid w:val="00307A37"/>
    <w:rsid w:val="00334E28"/>
    <w:rsid w:val="00344CCC"/>
    <w:rsid w:val="0038087B"/>
    <w:rsid w:val="003C3D61"/>
    <w:rsid w:val="00400862"/>
    <w:rsid w:val="004655EC"/>
    <w:rsid w:val="00471347"/>
    <w:rsid w:val="00472FC0"/>
    <w:rsid w:val="00493B16"/>
    <w:rsid w:val="004A330D"/>
    <w:rsid w:val="004F63C1"/>
    <w:rsid w:val="0051383D"/>
    <w:rsid w:val="00526C5F"/>
    <w:rsid w:val="0059101F"/>
    <w:rsid w:val="00597E42"/>
    <w:rsid w:val="005A4B57"/>
    <w:rsid w:val="005F2E2B"/>
    <w:rsid w:val="005F4D83"/>
    <w:rsid w:val="00604D38"/>
    <w:rsid w:val="00636362"/>
    <w:rsid w:val="00683541"/>
    <w:rsid w:val="006B0B90"/>
    <w:rsid w:val="006C0E70"/>
    <w:rsid w:val="006F2A53"/>
    <w:rsid w:val="007176F3"/>
    <w:rsid w:val="00751D32"/>
    <w:rsid w:val="007A7960"/>
    <w:rsid w:val="007B05E3"/>
    <w:rsid w:val="007B1B6B"/>
    <w:rsid w:val="007B388E"/>
    <w:rsid w:val="007B5C37"/>
    <w:rsid w:val="007C7DEF"/>
    <w:rsid w:val="007E1BB9"/>
    <w:rsid w:val="007E2A44"/>
    <w:rsid w:val="0080173A"/>
    <w:rsid w:val="008313EA"/>
    <w:rsid w:val="00871D08"/>
    <w:rsid w:val="008B3C5B"/>
    <w:rsid w:val="008C604B"/>
    <w:rsid w:val="008C7766"/>
    <w:rsid w:val="008D3C90"/>
    <w:rsid w:val="008E796B"/>
    <w:rsid w:val="008F002B"/>
    <w:rsid w:val="0090118E"/>
    <w:rsid w:val="00912162"/>
    <w:rsid w:val="00930EDB"/>
    <w:rsid w:val="00954271"/>
    <w:rsid w:val="009A7302"/>
    <w:rsid w:val="009B2E29"/>
    <w:rsid w:val="009B6B31"/>
    <w:rsid w:val="009C6BE2"/>
    <w:rsid w:val="009E36CA"/>
    <w:rsid w:val="009F59E6"/>
    <w:rsid w:val="00A2086F"/>
    <w:rsid w:val="00A21B10"/>
    <w:rsid w:val="00A26A09"/>
    <w:rsid w:val="00A74E08"/>
    <w:rsid w:val="00A80295"/>
    <w:rsid w:val="00A93301"/>
    <w:rsid w:val="00AC4597"/>
    <w:rsid w:val="00AE7392"/>
    <w:rsid w:val="00B17397"/>
    <w:rsid w:val="00B27A10"/>
    <w:rsid w:val="00B50587"/>
    <w:rsid w:val="00BC76E3"/>
    <w:rsid w:val="00BD28B8"/>
    <w:rsid w:val="00BF64E9"/>
    <w:rsid w:val="00C12D4F"/>
    <w:rsid w:val="00C21CD6"/>
    <w:rsid w:val="00C378C2"/>
    <w:rsid w:val="00C520B3"/>
    <w:rsid w:val="00C67062"/>
    <w:rsid w:val="00C710CB"/>
    <w:rsid w:val="00C712EB"/>
    <w:rsid w:val="00C71B53"/>
    <w:rsid w:val="00C73AB9"/>
    <w:rsid w:val="00CD79CE"/>
    <w:rsid w:val="00D14CE9"/>
    <w:rsid w:val="00D326E6"/>
    <w:rsid w:val="00D471D4"/>
    <w:rsid w:val="00D53713"/>
    <w:rsid w:val="00D92977"/>
    <w:rsid w:val="00D961DA"/>
    <w:rsid w:val="00DC0C9A"/>
    <w:rsid w:val="00DC666D"/>
    <w:rsid w:val="00DD072E"/>
    <w:rsid w:val="00E53231"/>
    <w:rsid w:val="00E62A64"/>
    <w:rsid w:val="00E83841"/>
    <w:rsid w:val="00E974C9"/>
    <w:rsid w:val="00EC32CB"/>
    <w:rsid w:val="00EE7815"/>
    <w:rsid w:val="00EF45C0"/>
    <w:rsid w:val="00F229CE"/>
    <w:rsid w:val="00F56718"/>
    <w:rsid w:val="00F8265E"/>
    <w:rsid w:val="00F9438F"/>
    <w:rsid w:val="00F96EE2"/>
    <w:rsid w:val="00FA0EA4"/>
    <w:rsid w:val="00FE7F41"/>
    <w:rsid w:val="30320B3F"/>
    <w:rsid w:val="5C2A6E9B"/>
    <w:rsid w:val="6171656C"/>
    <w:rsid w:val="678E7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nhideWhenUsed="0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qFormat="1" w:uiPriority="99" w:semiHidden="0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MS Mincho" w:cs="Times New Roman"/>
      <w:kern w:val="2"/>
      <w:sz w:val="21"/>
      <w:szCs w:val="21"/>
      <w:lang w:val="en-US" w:eastAsia="ja-JP" w:bidi="ar-SA"/>
    </w:rPr>
  </w:style>
  <w:style w:type="paragraph" w:styleId="2">
    <w:name w:val="heading 4"/>
    <w:basedOn w:val="1"/>
    <w:next w:val="1"/>
    <w:link w:val="14"/>
    <w:qFormat/>
    <w:uiPriority w:val="9"/>
    <w:pPr>
      <w:widowControl/>
      <w:spacing w:before="100" w:beforeAutospacing="1" w:after="100" w:afterAutospacing="1"/>
      <w:jc w:val="left"/>
      <w:outlineLvl w:val="3"/>
    </w:pPr>
    <w:rPr>
      <w:rFonts w:ascii="宋体" w:hAnsi="宋体" w:eastAsia="宋体" w:cs="宋体"/>
      <w:b/>
      <w:bCs/>
      <w:kern w:val="0"/>
      <w:sz w:val="24"/>
      <w:szCs w:val="24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link w:val="28"/>
    <w:uiPriority w:val="0"/>
    <w:pPr>
      <w:jc w:val="left"/>
    </w:pPr>
    <w:rPr>
      <w:rFonts w:ascii="Calibri" w:hAnsi="Courier New" w:eastAsia="宋体" w:cs="Calibri"/>
      <w:kern w:val="0"/>
      <w:sz w:val="24"/>
      <w:szCs w:val="24"/>
    </w:rPr>
  </w:style>
  <w:style w:type="paragraph" w:styleId="4">
    <w:name w:val="Balloon Text"/>
    <w:basedOn w:val="1"/>
    <w:link w:val="24"/>
    <w:semiHidden/>
    <w:unhideWhenUsed/>
    <w:uiPriority w:val="99"/>
    <w:rPr>
      <w:sz w:val="18"/>
      <w:szCs w:val="18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Emphasis"/>
    <w:basedOn w:val="8"/>
    <w:qFormat/>
    <w:uiPriority w:val="20"/>
    <w:rPr>
      <w:i/>
      <w:iCs/>
    </w:rPr>
  </w:style>
  <w:style w:type="character" w:styleId="10">
    <w:name w:val="line number"/>
    <w:basedOn w:val="8"/>
    <w:unhideWhenUsed/>
    <w:qFormat/>
    <w:uiPriority w:val="99"/>
  </w:style>
  <w:style w:type="character" w:styleId="11">
    <w:name w:val="Hyperlink"/>
    <w:basedOn w:val="8"/>
    <w:unhideWhenUsed/>
    <w:uiPriority w:val="99"/>
    <w:rPr>
      <w:color w:val="0000FF"/>
      <w:u w:val="single"/>
    </w:rPr>
  </w:style>
  <w:style w:type="character" w:customStyle="1" w:styleId="12">
    <w:name w:val="页眉 字符"/>
    <w:basedOn w:val="8"/>
    <w:link w:val="6"/>
    <w:uiPriority w:val="99"/>
    <w:rPr>
      <w:sz w:val="18"/>
      <w:szCs w:val="18"/>
    </w:rPr>
  </w:style>
  <w:style w:type="character" w:customStyle="1" w:styleId="13">
    <w:name w:val="页脚 字符"/>
    <w:basedOn w:val="8"/>
    <w:link w:val="5"/>
    <w:uiPriority w:val="99"/>
    <w:rPr>
      <w:sz w:val="18"/>
      <w:szCs w:val="18"/>
    </w:rPr>
  </w:style>
  <w:style w:type="character" w:customStyle="1" w:styleId="14">
    <w:name w:val="标题 4 字符"/>
    <w:basedOn w:val="8"/>
    <w:link w:val="2"/>
    <w:qFormat/>
    <w:uiPriority w:val="9"/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15">
    <w:name w:val="address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6">
    <w:name w:val="distance"/>
    <w:basedOn w:val="8"/>
    <w:qFormat/>
    <w:uiPriority w:val="0"/>
  </w:style>
  <w:style w:type="paragraph" w:customStyle="1" w:styleId="17">
    <w:name w:val="direct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8">
    <w:name w:val="time_and_num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9">
    <w:name w:val="time_start"/>
    <w:basedOn w:val="8"/>
    <w:qFormat/>
    <w:uiPriority w:val="0"/>
  </w:style>
  <w:style w:type="character" w:customStyle="1" w:styleId="20">
    <w:name w:val="time_end"/>
    <w:basedOn w:val="8"/>
    <w:uiPriority w:val="0"/>
  </w:style>
  <w:style w:type="character" w:customStyle="1" w:styleId="21">
    <w:name w:val="station_num"/>
    <w:basedOn w:val="8"/>
    <w:qFormat/>
    <w:uiPriority w:val="0"/>
  </w:style>
  <w:style w:type="paragraph" w:customStyle="1" w:styleId="22">
    <w:name w:val="endwalk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3">
    <w:name w:val="列出段落1"/>
    <w:basedOn w:val="1"/>
    <w:qFormat/>
    <w:uiPriority w:val="0"/>
    <w:pPr>
      <w:ind w:firstLine="420" w:firstLineChars="200"/>
    </w:pPr>
  </w:style>
  <w:style w:type="character" w:customStyle="1" w:styleId="24">
    <w:name w:val="批注框文本 字符"/>
    <w:basedOn w:val="8"/>
    <w:link w:val="4"/>
    <w:semiHidden/>
    <w:uiPriority w:val="99"/>
    <w:rPr>
      <w:kern w:val="2"/>
      <w:sz w:val="18"/>
      <w:szCs w:val="18"/>
    </w:rPr>
  </w:style>
  <w:style w:type="paragraph" w:customStyle="1" w:styleId="25">
    <w:name w:val="01 Paper Title"/>
    <w:qFormat/>
    <w:uiPriority w:val="0"/>
    <w:pPr>
      <w:spacing w:after="180" w:line="360" w:lineRule="exact"/>
    </w:pPr>
    <w:rPr>
      <w:rFonts w:ascii="Times New Roman" w:hAnsi="Times New Roman" w:eastAsia="MS Mincho" w:cs="Times New Roman"/>
      <w:b/>
      <w:position w:val="7"/>
      <w:sz w:val="32"/>
      <w:szCs w:val="32"/>
      <w:lang w:val="en-GB" w:eastAsia="en-GB" w:bidi="ar-SA"/>
    </w:rPr>
  </w:style>
  <w:style w:type="paragraph" w:styleId="26">
    <w:name w:val="List Paragraph"/>
    <w:basedOn w:val="1"/>
    <w:qFormat/>
    <w:uiPriority w:val="34"/>
    <w:pPr>
      <w:wordWrap w:val="0"/>
      <w:autoSpaceDE w:val="0"/>
      <w:autoSpaceDN w:val="0"/>
      <w:ind w:left="800" w:leftChars="400"/>
    </w:pPr>
    <w:rPr>
      <w:rFonts w:ascii="Malgun Gothic" w:hAnsi="Malgun Gothic"/>
      <w:sz w:val="20"/>
      <w:szCs w:val="22"/>
      <w:lang w:eastAsia="ko-KR"/>
    </w:rPr>
  </w:style>
  <w:style w:type="character" w:customStyle="1" w:styleId="27">
    <w:name w:val="纯文本 Char"/>
    <w:basedOn w:val="8"/>
    <w:semiHidden/>
    <w:uiPriority w:val="99"/>
    <w:rPr>
      <w:rFonts w:ascii="宋体" w:hAnsi="Courier New" w:eastAsia="宋体" w:cs="Courier New"/>
      <w:kern w:val="2"/>
      <w:sz w:val="21"/>
      <w:szCs w:val="21"/>
      <w:lang w:eastAsia="ja-JP"/>
    </w:rPr>
  </w:style>
  <w:style w:type="character" w:customStyle="1" w:styleId="28">
    <w:name w:val="纯文本 字符"/>
    <w:link w:val="3"/>
    <w:uiPriority w:val="0"/>
    <w:rPr>
      <w:rFonts w:ascii="Calibri" w:hAnsi="Courier New" w:eastAsia="宋体" w:cs="Calibri"/>
      <w:sz w:val="24"/>
      <w:szCs w:val="24"/>
      <w:lang w:eastAsia="ja-JP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emf"/><Relationship Id="rId6" Type="http://schemas.openxmlformats.org/officeDocument/2006/relationships/oleObject" Target="embeddings/oleObject1.bin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F72FA85-62A9-4C15-97FD-3C512E601F8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Toshiba</Company>
  <Pages>2</Pages>
  <Words>466</Words>
  <Characters>2941</Characters>
  <Lines>71</Lines>
  <Paragraphs>38</Paragraphs>
  <TotalTime>384</TotalTime>
  <ScaleCrop>false</ScaleCrop>
  <LinksUpToDate>false</LinksUpToDate>
  <CharactersWithSpaces>3369</CharactersWithSpaces>
  <Application>WPS Office_11.1.0.10016_F1E327BC-269C-435d-A152-05C5408002CA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2017-07-15T03:39:00Z</dcterms:created>
  <dc:creator>lihui</dc:creator>
  <cp:lastModifiedBy>lenovo</cp:lastModifiedBy>
  <cp:lastPrinted>2019-04-26T01:27:00Z</cp:lastPrinted>
  <dcterms:modified xsi:type="dcterms:W3CDTF">2024-04-26T02:25:17Z</dcterms:modified>
  <cp:revision>58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2052-11.1.0.10016</vt:lpwstr>
  </property>
  <property fmtid="{D5CDD505-2E9C-101B-9397-08002B2CF9AE}" pid="3" name="GrammarlyDocumentId">
    <vt:lpwstr>6c7a4e213837c8266b32838ae415fca62102acc845c833ad08295fd3468bb009</vt:lpwstr>
  </property>
</Properties>
</file>